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8C46E" w14:textId="77777777" w:rsidR="00D504D5" w:rsidRDefault="00D504D5" w:rsidP="00D504D5">
      <w:pPr>
        <w:spacing w:line="592" w:lineRule="exact"/>
        <w:jc w:val="center"/>
        <w:rPr>
          <w:rFonts w:ascii="方正小标宋简体" w:eastAsia="方正小标宋简体" w:hAnsi="宋体" w:cs="宋体"/>
          <w:color w:val="000000"/>
          <w:kern w:val="0"/>
          <w:sz w:val="44"/>
          <w:szCs w:val="44"/>
          <w:lang w:bidi="ar"/>
        </w:rPr>
      </w:pPr>
    </w:p>
    <w:p w14:paraId="12C46F47" w14:textId="77777777" w:rsidR="00D504D5" w:rsidRDefault="00D504D5" w:rsidP="00D504D5">
      <w:pPr>
        <w:spacing w:line="592" w:lineRule="exact"/>
        <w:jc w:val="center"/>
        <w:rPr>
          <w:rFonts w:ascii="方正小标宋简体" w:eastAsia="方正小标宋简体" w:hAnsi="宋体" w:cs="宋体"/>
          <w:color w:val="000000"/>
          <w:kern w:val="0"/>
          <w:sz w:val="44"/>
          <w:szCs w:val="44"/>
          <w:lang w:bidi="ar"/>
        </w:rPr>
      </w:pPr>
    </w:p>
    <w:p w14:paraId="14EDBCEE" w14:textId="77777777" w:rsidR="00D504D5" w:rsidRDefault="00D504D5" w:rsidP="00D504D5">
      <w:pPr>
        <w:spacing w:line="592" w:lineRule="exact"/>
        <w:jc w:val="center"/>
        <w:rPr>
          <w:rFonts w:ascii="方正小标宋简体" w:eastAsia="方正小标宋简体" w:hAnsi="宋体" w:cs="宋体"/>
          <w:color w:val="000000"/>
          <w:kern w:val="0"/>
          <w:sz w:val="44"/>
          <w:szCs w:val="44"/>
          <w:lang w:bidi="ar"/>
        </w:rPr>
      </w:pPr>
    </w:p>
    <w:p w14:paraId="7F75AA88" w14:textId="77777777" w:rsidR="00D504D5" w:rsidRDefault="00D504D5" w:rsidP="00D504D5">
      <w:pPr>
        <w:spacing w:line="592" w:lineRule="exact"/>
        <w:jc w:val="center"/>
        <w:rPr>
          <w:rFonts w:ascii="方正小标宋简体" w:eastAsia="方正小标宋简体" w:hAnsi="宋体" w:cs="宋体"/>
          <w:color w:val="000000"/>
          <w:kern w:val="0"/>
          <w:sz w:val="44"/>
          <w:szCs w:val="44"/>
          <w:lang w:bidi="ar"/>
        </w:rPr>
      </w:pPr>
    </w:p>
    <w:p w14:paraId="601C2CD3" w14:textId="77777777" w:rsidR="00D504D5" w:rsidRDefault="00D504D5" w:rsidP="00D504D5">
      <w:pPr>
        <w:spacing w:line="592" w:lineRule="exact"/>
        <w:jc w:val="center"/>
        <w:rPr>
          <w:rFonts w:ascii="方正小标宋简体" w:eastAsia="方正小标宋简体" w:hAnsi="宋体" w:cs="宋体"/>
          <w:color w:val="000000"/>
          <w:kern w:val="0"/>
          <w:sz w:val="44"/>
          <w:szCs w:val="44"/>
          <w:lang w:bidi="ar"/>
        </w:rPr>
      </w:pPr>
    </w:p>
    <w:p w14:paraId="33F07996" w14:textId="77777777" w:rsidR="00D504D5" w:rsidRDefault="00D504D5" w:rsidP="00D504D5">
      <w:pPr>
        <w:spacing w:line="592" w:lineRule="exact"/>
        <w:jc w:val="center"/>
        <w:rPr>
          <w:rFonts w:ascii="方正小标宋简体" w:eastAsia="方正小标宋简体" w:hAnsi="宋体" w:cs="宋体"/>
          <w:color w:val="000000"/>
          <w:kern w:val="0"/>
          <w:sz w:val="44"/>
          <w:szCs w:val="44"/>
          <w:lang w:bidi="ar"/>
        </w:rPr>
      </w:pPr>
    </w:p>
    <w:p w14:paraId="2B754EA7" w14:textId="3BEDDE8E" w:rsidR="00D504D5" w:rsidRDefault="00D504D5" w:rsidP="00D504D5">
      <w:pPr>
        <w:spacing w:line="600" w:lineRule="exact"/>
        <w:jc w:val="center"/>
        <w:rPr>
          <w:rFonts w:ascii="方正小标宋简体" w:eastAsia="方正小标宋简体" w:hAnsi="宋体" w:cs="宋体"/>
          <w:color w:val="000000"/>
          <w:kern w:val="0"/>
          <w:sz w:val="44"/>
          <w:szCs w:val="44"/>
          <w:lang w:bidi="ar"/>
        </w:rPr>
      </w:pPr>
      <w:proofErr w:type="gramStart"/>
      <w:r>
        <w:rPr>
          <w:rFonts w:ascii="仿宋_GB2312" w:eastAsia="仿宋_GB2312" w:hAnsi="宋体" w:cs="宋体" w:hint="eastAsia"/>
          <w:color w:val="333333"/>
          <w:kern w:val="0"/>
          <w:sz w:val="32"/>
          <w:szCs w:val="32"/>
        </w:rPr>
        <w:t>铜公管</w:t>
      </w:r>
      <w:proofErr w:type="gramEnd"/>
      <w:r>
        <w:rPr>
          <w:rFonts w:ascii="仿宋_GB2312" w:eastAsia="仿宋_GB2312" w:hAnsi="宋体" w:cs="宋体" w:hint="eastAsia"/>
          <w:color w:val="333333"/>
          <w:kern w:val="0"/>
          <w:sz w:val="32"/>
          <w:szCs w:val="32"/>
        </w:rPr>
        <w:t>〔</w:t>
      </w:r>
      <w:r>
        <w:rPr>
          <w:rFonts w:ascii="仿宋_GB2312" w:eastAsia="仿宋_GB2312" w:hAnsi="宋体" w:cs="宋体"/>
          <w:color w:val="333333"/>
          <w:kern w:val="0"/>
          <w:sz w:val="32"/>
          <w:szCs w:val="32"/>
        </w:rPr>
        <w:t>20</w:t>
      </w:r>
      <w:r>
        <w:rPr>
          <w:rFonts w:ascii="仿宋_GB2312" w:eastAsia="仿宋_GB2312" w:hAnsi="宋体" w:cs="宋体" w:hint="eastAsia"/>
          <w:color w:val="333333"/>
          <w:kern w:val="0"/>
          <w:sz w:val="32"/>
          <w:szCs w:val="32"/>
        </w:rPr>
        <w:t>24〕</w:t>
      </w:r>
      <w:r>
        <w:rPr>
          <w:rFonts w:ascii="仿宋_GB2312" w:eastAsia="仿宋_GB2312" w:hAnsi="宋体" w:cs="宋体"/>
          <w:color w:val="333333"/>
          <w:kern w:val="0"/>
          <w:sz w:val="32"/>
          <w:szCs w:val="32"/>
        </w:rPr>
        <w:t>9</w:t>
      </w:r>
      <w:r>
        <w:rPr>
          <w:rFonts w:ascii="仿宋_GB2312" w:eastAsia="仿宋_GB2312" w:hAnsi="宋体" w:cs="宋体"/>
          <w:color w:val="333333"/>
          <w:kern w:val="0"/>
          <w:sz w:val="32"/>
          <w:szCs w:val="32"/>
        </w:rPr>
        <w:t>6</w:t>
      </w:r>
      <w:r>
        <w:rPr>
          <w:rFonts w:ascii="仿宋_GB2312" w:eastAsia="仿宋_GB2312" w:hAnsi="宋体" w:cs="宋体" w:hint="eastAsia"/>
          <w:color w:val="333333"/>
          <w:kern w:val="0"/>
          <w:sz w:val="32"/>
          <w:szCs w:val="32"/>
        </w:rPr>
        <w:t>号</w:t>
      </w:r>
    </w:p>
    <w:p w14:paraId="4E572A5E" w14:textId="77777777" w:rsidR="00D504D5" w:rsidRDefault="00D504D5" w:rsidP="00D504D5">
      <w:pPr>
        <w:spacing w:line="592" w:lineRule="exact"/>
        <w:jc w:val="center"/>
        <w:rPr>
          <w:rFonts w:ascii="方正小标宋简体" w:eastAsia="方正小标宋简体" w:hAnsi="宋体" w:cs="宋体"/>
          <w:color w:val="000000"/>
          <w:kern w:val="0"/>
          <w:sz w:val="44"/>
          <w:szCs w:val="44"/>
          <w:lang w:bidi="ar"/>
        </w:rPr>
      </w:pPr>
    </w:p>
    <w:p w14:paraId="355FD6B3" w14:textId="5BA3083D" w:rsidR="0059221C" w:rsidRDefault="000851AA" w:rsidP="0059221C">
      <w:pPr>
        <w:widowControl/>
        <w:shd w:val="clear" w:color="auto" w:fill="FFFFFF"/>
        <w:spacing w:line="600" w:lineRule="exact"/>
        <w:jc w:val="center"/>
        <w:rPr>
          <w:rFonts w:ascii="方正小标宋简体" w:eastAsia="方正小标宋简体"/>
          <w:color w:val="333333"/>
          <w:sz w:val="44"/>
          <w:szCs w:val="44"/>
          <w:shd w:val="clear" w:color="auto" w:fill="FFFFFF"/>
        </w:rPr>
      </w:pPr>
      <w:r w:rsidRPr="0059221C">
        <w:rPr>
          <w:rFonts w:ascii="方正小标宋简体" w:eastAsia="方正小标宋简体" w:hint="eastAsia"/>
          <w:color w:val="333333"/>
          <w:sz w:val="44"/>
          <w:szCs w:val="44"/>
          <w:shd w:val="clear" w:color="auto" w:fill="FFFFFF"/>
        </w:rPr>
        <w:t>关于修订</w:t>
      </w:r>
      <w:proofErr w:type="gramStart"/>
      <w:r w:rsidRPr="0059221C">
        <w:rPr>
          <w:rFonts w:ascii="方正小标宋简体" w:eastAsia="方正小标宋简体" w:hint="eastAsia"/>
          <w:color w:val="333333"/>
          <w:sz w:val="44"/>
          <w:szCs w:val="44"/>
          <w:shd w:val="clear" w:color="auto" w:fill="FFFFFF"/>
        </w:rPr>
        <w:t>《</w:t>
      </w:r>
      <w:proofErr w:type="gramEnd"/>
      <w:r w:rsidRPr="0059221C">
        <w:rPr>
          <w:rFonts w:ascii="方正小标宋简体" w:eastAsia="方正小标宋简体" w:hint="eastAsia"/>
          <w:color w:val="333333"/>
          <w:sz w:val="44"/>
          <w:szCs w:val="44"/>
          <w:shd w:val="clear" w:color="auto" w:fill="FFFFFF"/>
        </w:rPr>
        <w:t>关于进一步加强国有资金投资</w:t>
      </w:r>
    </w:p>
    <w:p w14:paraId="3FE0AC44" w14:textId="293D728A" w:rsidR="0059221C" w:rsidRDefault="000851AA" w:rsidP="0059221C">
      <w:pPr>
        <w:widowControl/>
        <w:shd w:val="clear" w:color="auto" w:fill="FFFFFF"/>
        <w:spacing w:line="600" w:lineRule="exact"/>
        <w:jc w:val="center"/>
        <w:rPr>
          <w:rFonts w:ascii="方正小标宋简体" w:eastAsia="方正小标宋简体"/>
          <w:color w:val="333333"/>
          <w:sz w:val="44"/>
          <w:szCs w:val="44"/>
          <w:shd w:val="clear" w:color="auto" w:fill="FFFFFF"/>
        </w:rPr>
      </w:pPr>
      <w:r w:rsidRPr="0059221C">
        <w:rPr>
          <w:rFonts w:ascii="方正小标宋简体" w:eastAsia="方正小标宋简体" w:hint="eastAsia"/>
          <w:color w:val="333333"/>
          <w:sz w:val="44"/>
          <w:szCs w:val="44"/>
          <w:shd w:val="clear" w:color="auto" w:fill="FFFFFF"/>
        </w:rPr>
        <w:t>工程建设项目标后履约监管的通知》</w:t>
      </w:r>
    </w:p>
    <w:p w14:paraId="6F796C74" w14:textId="2D76CE2E" w:rsidR="000851AA" w:rsidRPr="0059221C" w:rsidRDefault="000851AA" w:rsidP="0059221C">
      <w:pPr>
        <w:widowControl/>
        <w:shd w:val="clear" w:color="auto" w:fill="FFFFFF"/>
        <w:spacing w:line="600" w:lineRule="exact"/>
        <w:jc w:val="center"/>
        <w:rPr>
          <w:rFonts w:ascii="方正小标宋简体" w:eastAsia="方正小标宋简体"/>
          <w:color w:val="333333"/>
          <w:sz w:val="44"/>
          <w:szCs w:val="44"/>
          <w:shd w:val="clear" w:color="auto" w:fill="FFFFFF"/>
        </w:rPr>
      </w:pPr>
      <w:r w:rsidRPr="0059221C">
        <w:rPr>
          <w:rFonts w:ascii="方正小标宋简体" w:eastAsia="方正小标宋简体" w:hint="eastAsia"/>
          <w:color w:val="333333"/>
          <w:sz w:val="44"/>
          <w:szCs w:val="44"/>
          <w:shd w:val="clear" w:color="auto" w:fill="FFFFFF"/>
        </w:rPr>
        <w:t>等</w:t>
      </w:r>
      <w:r w:rsidRPr="0059221C">
        <w:rPr>
          <w:rFonts w:ascii="方正小标宋简体" w:eastAsia="方正小标宋简体"/>
          <w:color w:val="333333"/>
          <w:sz w:val="44"/>
          <w:szCs w:val="44"/>
          <w:shd w:val="clear" w:color="auto" w:fill="FFFFFF"/>
        </w:rPr>
        <w:t>4</w:t>
      </w:r>
      <w:r w:rsidR="0059221C">
        <w:rPr>
          <w:rFonts w:ascii="方正小标宋简体" w:eastAsia="方正小标宋简体" w:hint="eastAsia"/>
          <w:color w:val="333333"/>
          <w:sz w:val="44"/>
          <w:szCs w:val="44"/>
          <w:shd w:val="clear" w:color="auto" w:fill="FFFFFF"/>
        </w:rPr>
        <w:t>件</w:t>
      </w:r>
      <w:r w:rsidRPr="0059221C">
        <w:rPr>
          <w:rFonts w:ascii="方正小标宋简体" w:eastAsia="方正小标宋简体" w:hint="eastAsia"/>
          <w:color w:val="333333"/>
          <w:sz w:val="44"/>
          <w:szCs w:val="44"/>
          <w:shd w:val="clear" w:color="auto" w:fill="FFFFFF"/>
        </w:rPr>
        <w:t>行政</w:t>
      </w:r>
      <w:r w:rsidRPr="000851AA">
        <w:rPr>
          <w:rFonts w:ascii="方正小标宋简体" w:eastAsia="方正小标宋简体" w:hint="eastAsia"/>
          <w:color w:val="333333"/>
          <w:sz w:val="44"/>
          <w:szCs w:val="44"/>
          <w:shd w:val="clear" w:color="auto" w:fill="FFFFFF"/>
        </w:rPr>
        <w:t>规范性文件的</w:t>
      </w:r>
      <w:r w:rsidRPr="0059221C">
        <w:rPr>
          <w:rFonts w:ascii="方正小标宋简体" w:eastAsia="方正小标宋简体" w:hint="eastAsia"/>
          <w:color w:val="333333"/>
          <w:sz w:val="44"/>
          <w:szCs w:val="44"/>
          <w:shd w:val="clear" w:color="auto" w:fill="FFFFFF"/>
        </w:rPr>
        <w:t>通知</w:t>
      </w:r>
    </w:p>
    <w:p w14:paraId="096686A8" w14:textId="3D488BCF" w:rsidR="000851AA" w:rsidRPr="000851AA" w:rsidRDefault="000851AA" w:rsidP="000851AA">
      <w:pPr>
        <w:widowControl/>
        <w:shd w:val="clear" w:color="auto" w:fill="FFFFFF"/>
        <w:spacing w:line="580" w:lineRule="atLeast"/>
        <w:rPr>
          <w:rFonts w:ascii="仿宋_GB2312" w:eastAsia="仿宋_GB2312"/>
          <w:color w:val="333333"/>
          <w:sz w:val="32"/>
          <w:szCs w:val="32"/>
          <w:shd w:val="clear" w:color="auto" w:fill="FFFFFF"/>
        </w:rPr>
      </w:pPr>
    </w:p>
    <w:p w14:paraId="2328678E" w14:textId="67365547" w:rsidR="000851AA" w:rsidRPr="000851AA" w:rsidRDefault="000851AA" w:rsidP="000851AA">
      <w:pPr>
        <w:widowControl/>
        <w:shd w:val="clear" w:color="auto" w:fill="FFFFFF"/>
        <w:spacing w:line="580" w:lineRule="atLeast"/>
        <w:rPr>
          <w:rFonts w:ascii="仿宋_GB2312" w:eastAsia="仿宋_GB2312"/>
          <w:color w:val="333333"/>
          <w:sz w:val="32"/>
          <w:szCs w:val="32"/>
          <w:shd w:val="clear" w:color="auto" w:fill="FFFFFF"/>
        </w:rPr>
      </w:pPr>
      <w:r w:rsidRPr="000851AA">
        <w:rPr>
          <w:rFonts w:ascii="仿宋_GB2312" w:eastAsia="仿宋_GB2312" w:hint="eastAsia"/>
          <w:color w:val="333333"/>
          <w:sz w:val="32"/>
          <w:szCs w:val="32"/>
          <w:shd w:val="clear" w:color="auto" w:fill="FFFFFF"/>
        </w:rPr>
        <w:t>县、区人民政府，各有关单位：</w:t>
      </w:r>
    </w:p>
    <w:p w14:paraId="2A72629B" w14:textId="3C895AE6" w:rsidR="000851AA" w:rsidRPr="000851AA" w:rsidRDefault="000851AA" w:rsidP="000851AA">
      <w:pPr>
        <w:widowControl/>
        <w:shd w:val="clear" w:color="auto" w:fill="FFFFFF"/>
        <w:spacing w:line="580" w:lineRule="atLeast"/>
        <w:ind w:firstLineChars="200" w:firstLine="640"/>
        <w:rPr>
          <w:rFonts w:ascii="仿宋_GB2312" w:eastAsia="仿宋_GB2312"/>
          <w:color w:val="333333"/>
          <w:sz w:val="32"/>
          <w:szCs w:val="32"/>
          <w:shd w:val="clear" w:color="auto" w:fill="FFFFFF"/>
        </w:rPr>
      </w:pPr>
      <w:r>
        <w:rPr>
          <w:rFonts w:ascii="仿宋_GB2312" w:eastAsia="仿宋_GB2312" w:hint="eastAsia"/>
          <w:color w:val="333333"/>
          <w:sz w:val="32"/>
          <w:szCs w:val="32"/>
          <w:shd w:val="clear" w:color="auto" w:fill="FFFFFF"/>
        </w:rPr>
        <w:t>为严格落实招标投标领域公平竞争审查，促进工程建设招标投标高质量健康发展。会商有关部门意见，并经市公共资源交易监督管理局党组研究，现决定对</w:t>
      </w:r>
      <w:r w:rsidRPr="000851AA">
        <w:rPr>
          <w:rFonts w:ascii="仿宋_GB2312" w:eastAsia="仿宋_GB2312" w:hint="eastAsia"/>
          <w:color w:val="333333"/>
          <w:sz w:val="32"/>
          <w:szCs w:val="32"/>
          <w:shd w:val="clear" w:color="auto" w:fill="FFFFFF"/>
        </w:rPr>
        <w:t>《关于进一步加强国有资金投资工程建设项目标后履约监管的通知</w:t>
      </w:r>
      <w:r>
        <w:rPr>
          <w:rFonts w:ascii="仿宋_GB2312" w:eastAsia="仿宋_GB2312" w:hint="eastAsia"/>
          <w:color w:val="333333"/>
          <w:sz w:val="32"/>
          <w:szCs w:val="32"/>
          <w:shd w:val="clear" w:color="auto" w:fill="FFFFFF"/>
        </w:rPr>
        <w:t>》等</w:t>
      </w:r>
      <w:r w:rsidRPr="000851AA">
        <w:rPr>
          <w:rFonts w:ascii="仿宋_GB2312" w:eastAsia="仿宋_GB2312" w:hint="eastAsia"/>
          <w:color w:val="333333"/>
          <w:sz w:val="32"/>
          <w:szCs w:val="32"/>
          <w:shd w:val="clear" w:color="auto" w:fill="FFFFFF"/>
        </w:rPr>
        <w:t>4</w:t>
      </w:r>
      <w:r>
        <w:rPr>
          <w:rFonts w:ascii="仿宋_GB2312" w:eastAsia="仿宋_GB2312" w:hint="eastAsia"/>
          <w:color w:val="333333"/>
          <w:sz w:val="32"/>
          <w:szCs w:val="32"/>
          <w:shd w:val="clear" w:color="auto" w:fill="FFFFFF"/>
        </w:rPr>
        <w:t>件行政规范性文件作如下修订：</w:t>
      </w:r>
    </w:p>
    <w:p w14:paraId="558AC9C6" w14:textId="77777777" w:rsidR="000851AA" w:rsidRPr="000851AA" w:rsidRDefault="000851AA" w:rsidP="000851AA">
      <w:pPr>
        <w:ind w:firstLineChars="200" w:firstLine="640"/>
        <w:rPr>
          <w:rFonts w:ascii="黑体" w:eastAsia="黑体" w:hAnsi="黑体"/>
          <w:color w:val="333333"/>
          <w:sz w:val="32"/>
          <w:szCs w:val="32"/>
          <w:shd w:val="clear" w:color="auto" w:fill="FFFFFF"/>
        </w:rPr>
      </w:pPr>
      <w:r w:rsidRPr="000851AA">
        <w:rPr>
          <w:rFonts w:ascii="黑体" w:eastAsia="黑体" w:hAnsi="黑体" w:hint="eastAsia"/>
          <w:color w:val="333333"/>
          <w:sz w:val="32"/>
          <w:szCs w:val="32"/>
          <w:shd w:val="clear" w:color="auto" w:fill="FFFFFF"/>
        </w:rPr>
        <w:t>一、</w:t>
      </w:r>
      <w:bookmarkStart w:id="0" w:name="_Hlk177199655"/>
      <w:r w:rsidRPr="000851AA">
        <w:rPr>
          <w:rFonts w:ascii="黑体" w:eastAsia="黑体" w:hAnsi="黑体" w:hint="eastAsia"/>
          <w:color w:val="333333"/>
          <w:sz w:val="32"/>
          <w:szCs w:val="32"/>
          <w:shd w:val="clear" w:color="auto" w:fill="FFFFFF"/>
        </w:rPr>
        <w:t>《关于进一步加强国有资金投资工程建设项目标后履约监管的通知》</w:t>
      </w:r>
      <w:bookmarkEnd w:id="0"/>
      <w:r w:rsidRPr="000851AA">
        <w:rPr>
          <w:rFonts w:ascii="黑体" w:eastAsia="黑体" w:hAnsi="黑体" w:hint="eastAsia"/>
          <w:color w:val="333333"/>
          <w:sz w:val="32"/>
          <w:szCs w:val="32"/>
          <w:shd w:val="clear" w:color="auto" w:fill="FFFFFF"/>
        </w:rPr>
        <w:t>（</w:t>
      </w:r>
      <w:proofErr w:type="gramStart"/>
      <w:r w:rsidRPr="000851AA">
        <w:rPr>
          <w:rFonts w:ascii="黑体" w:eastAsia="黑体" w:hAnsi="黑体" w:hint="eastAsia"/>
          <w:color w:val="333333"/>
          <w:sz w:val="32"/>
          <w:szCs w:val="32"/>
          <w:shd w:val="clear" w:color="auto" w:fill="FFFFFF"/>
        </w:rPr>
        <w:t>铜公管</w:t>
      </w:r>
      <w:proofErr w:type="gramEnd"/>
      <w:r w:rsidRPr="000851AA">
        <w:rPr>
          <w:rFonts w:ascii="黑体" w:eastAsia="黑体" w:hAnsi="黑体" w:hint="eastAsia"/>
          <w:color w:val="333333"/>
          <w:sz w:val="32"/>
          <w:szCs w:val="32"/>
          <w:shd w:val="clear" w:color="auto" w:fill="FFFFFF"/>
        </w:rPr>
        <w:t>〔2021〕</w:t>
      </w:r>
      <w:r w:rsidRPr="007E427F">
        <w:rPr>
          <w:rFonts w:ascii="黑体" w:eastAsia="黑体" w:hAnsi="黑体" w:hint="eastAsia"/>
          <w:color w:val="333333"/>
          <w:sz w:val="32"/>
          <w:szCs w:val="32"/>
          <w:shd w:val="clear" w:color="auto" w:fill="FFFFFF"/>
        </w:rPr>
        <w:t>6号</w:t>
      </w:r>
      <w:r w:rsidRPr="000851AA">
        <w:rPr>
          <w:rFonts w:ascii="黑体" w:eastAsia="黑体" w:hAnsi="黑体" w:hint="eastAsia"/>
          <w:color w:val="333333"/>
          <w:sz w:val="32"/>
          <w:szCs w:val="32"/>
          <w:shd w:val="clear" w:color="auto" w:fill="FFFFFF"/>
        </w:rPr>
        <w:t>）</w:t>
      </w:r>
    </w:p>
    <w:p w14:paraId="4FA287BC" w14:textId="1CE8835B" w:rsidR="00AF036D" w:rsidRDefault="000851AA" w:rsidP="000851AA">
      <w:pPr>
        <w:ind w:firstLineChars="200" w:firstLine="640"/>
        <w:rPr>
          <w:rFonts w:ascii="仿宋_GB2312" w:eastAsia="仿宋_GB2312" w:cs="Times New Roman"/>
          <w:sz w:val="32"/>
          <w:szCs w:val="32"/>
        </w:rPr>
      </w:pPr>
      <w:r>
        <w:rPr>
          <w:rFonts w:ascii="仿宋_GB2312" w:eastAsia="仿宋_GB2312" w:cs="Times New Roman" w:hint="eastAsia"/>
          <w:sz w:val="32"/>
          <w:szCs w:val="32"/>
        </w:rPr>
        <w:t>删除</w:t>
      </w:r>
      <w:r w:rsidRPr="00EF6754">
        <w:rPr>
          <w:rFonts w:ascii="仿宋_GB2312" w:eastAsia="仿宋_GB2312" w:cs="Times New Roman" w:hint="eastAsia"/>
          <w:sz w:val="32"/>
          <w:szCs w:val="32"/>
        </w:rPr>
        <w:t>第一项</w:t>
      </w:r>
      <w:r w:rsidR="009F5661">
        <w:rPr>
          <w:rFonts w:ascii="仿宋_GB2312" w:eastAsia="仿宋_GB2312" w:cs="Times New Roman" w:hint="eastAsia"/>
          <w:sz w:val="32"/>
          <w:szCs w:val="32"/>
        </w:rPr>
        <w:t>中</w:t>
      </w:r>
      <w:r w:rsidRPr="00EF6754">
        <w:rPr>
          <w:rFonts w:ascii="仿宋_GB2312" w:eastAsia="仿宋_GB2312" w:cs="Times New Roman" w:hint="eastAsia"/>
          <w:sz w:val="32"/>
          <w:szCs w:val="32"/>
        </w:rPr>
        <w:t>“项目单位有证据证明中标人在以往履行与招标人及其所属单位的建设工程合同时，发生过重大实质</w:t>
      </w:r>
      <w:bookmarkStart w:id="1" w:name="_GoBack"/>
      <w:bookmarkEnd w:id="1"/>
      <w:r w:rsidRPr="00EF6754">
        <w:rPr>
          <w:rFonts w:ascii="仿宋_GB2312" w:eastAsia="仿宋_GB2312" w:cs="Times New Roman" w:hint="eastAsia"/>
          <w:sz w:val="32"/>
          <w:szCs w:val="32"/>
        </w:rPr>
        <w:t>性违约且</w:t>
      </w:r>
      <w:r w:rsidRPr="00EF6754">
        <w:rPr>
          <w:rFonts w:ascii="仿宋_GB2312" w:eastAsia="仿宋_GB2312" w:cs="Times New Roman" w:hint="eastAsia"/>
          <w:sz w:val="32"/>
          <w:szCs w:val="32"/>
        </w:rPr>
        <w:lastRenderedPageBreak/>
        <w:t>未及时采取合理补救措施的，可以拒绝其参加招标投标活动，但应当提前在招标文件中载明”</w:t>
      </w:r>
      <w:r>
        <w:rPr>
          <w:rFonts w:ascii="仿宋_GB2312" w:eastAsia="仿宋_GB2312" w:cs="Times New Roman" w:hint="eastAsia"/>
          <w:sz w:val="32"/>
          <w:szCs w:val="32"/>
        </w:rPr>
        <w:t>内容。</w:t>
      </w:r>
    </w:p>
    <w:p w14:paraId="4ACA28AD" w14:textId="77777777" w:rsidR="000851AA" w:rsidRPr="000851AA" w:rsidRDefault="000851AA" w:rsidP="000851AA">
      <w:pPr>
        <w:ind w:firstLine="640"/>
        <w:rPr>
          <w:rFonts w:ascii="黑体" w:eastAsia="黑体" w:hAnsi="黑体" w:cs="Times New Roman"/>
          <w:sz w:val="32"/>
          <w:szCs w:val="32"/>
        </w:rPr>
      </w:pPr>
      <w:r w:rsidRPr="000851AA">
        <w:rPr>
          <w:rFonts w:ascii="黑体" w:eastAsia="黑体" w:hAnsi="黑体" w:cs="Times New Roman" w:hint="eastAsia"/>
          <w:sz w:val="32"/>
          <w:szCs w:val="32"/>
        </w:rPr>
        <w:t>二、《关于印发&lt;铜陵市工程建设项目招标投标管理办法&gt;的通知》(</w:t>
      </w:r>
      <w:proofErr w:type="gramStart"/>
      <w:r w:rsidRPr="000851AA">
        <w:rPr>
          <w:rFonts w:ascii="黑体" w:eastAsia="黑体" w:hAnsi="黑体" w:cs="Times New Roman" w:hint="eastAsia"/>
          <w:sz w:val="32"/>
          <w:szCs w:val="32"/>
        </w:rPr>
        <w:t>铜公管</w:t>
      </w:r>
      <w:proofErr w:type="gramEnd"/>
      <w:r w:rsidRPr="000851AA">
        <w:rPr>
          <w:rFonts w:ascii="黑体" w:eastAsia="黑体" w:hAnsi="黑体" w:cs="Times New Roman" w:hint="eastAsia"/>
          <w:sz w:val="32"/>
          <w:szCs w:val="32"/>
        </w:rPr>
        <w:t>〔2021〕110号)</w:t>
      </w:r>
    </w:p>
    <w:p w14:paraId="58B11770" w14:textId="77F60574" w:rsidR="000851AA" w:rsidRDefault="000851AA" w:rsidP="000851AA">
      <w:pPr>
        <w:ind w:firstLine="640"/>
        <w:rPr>
          <w:rFonts w:ascii="仿宋_GB2312" w:eastAsia="仿宋_GB2312" w:cs="Times New Roman"/>
          <w:sz w:val="32"/>
          <w:szCs w:val="32"/>
        </w:rPr>
      </w:pPr>
      <w:r w:rsidRPr="0038103E">
        <w:rPr>
          <w:rFonts w:ascii="仿宋_GB2312" w:eastAsia="仿宋_GB2312" w:cs="Times New Roman" w:hint="eastAsia"/>
          <w:sz w:val="32"/>
          <w:szCs w:val="32"/>
        </w:rPr>
        <w:t>第二十三条</w:t>
      </w:r>
      <w:r w:rsidRPr="00EF6754">
        <w:rPr>
          <w:rFonts w:ascii="仿宋_GB2312" w:eastAsia="仿宋_GB2312" w:cs="Times New Roman" w:hint="eastAsia"/>
          <w:sz w:val="32"/>
          <w:szCs w:val="32"/>
        </w:rPr>
        <w:t>修改为</w:t>
      </w:r>
      <w:r>
        <w:rPr>
          <w:rFonts w:ascii="仿宋_GB2312" w:eastAsia="仿宋_GB2312" w:cs="Times New Roman" w:hint="eastAsia"/>
          <w:sz w:val="32"/>
          <w:szCs w:val="32"/>
        </w:rPr>
        <w:t>：</w:t>
      </w:r>
      <w:r w:rsidRPr="00EF6754">
        <w:rPr>
          <w:rFonts w:ascii="仿宋_GB2312" w:eastAsia="仿宋_GB2312" w:cs="Times New Roman" w:hint="eastAsia"/>
          <w:sz w:val="32"/>
          <w:szCs w:val="32"/>
        </w:rPr>
        <w:t>“通过预留份额、完善评标标准、鼓励大型企业与中小企业组成联合体参与投标等方式，加大对中小企业的支持力度，联合体参建单位业绩在项目招投标中均应予以认可”</w:t>
      </w:r>
      <w:r w:rsidR="0059221C">
        <w:rPr>
          <w:rFonts w:ascii="仿宋_GB2312" w:eastAsia="仿宋_GB2312" w:cs="Times New Roman" w:hint="eastAsia"/>
          <w:sz w:val="32"/>
          <w:szCs w:val="32"/>
        </w:rPr>
        <w:t>。</w:t>
      </w:r>
    </w:p>
    <w:p w14:paraId="52B28756" w14:textId="77777777" w:rsidR="0059221C" w:rsidRPr="0059221C" w:rsidRDefault="0059221C" w:rsidP="0059221C">
      <w:pPr>
        <w:ind w:firstLine="640"/>
        <w:rPr>
          <w:rFonts w:ascii="黑体" w:eastAsia="黑体" w:hAnsi="黑体" w:cs="Times New Roman"/>
          <w:sz w:val="32"/>
          <w:szCs w:val="32"/>
        </w:rPr>
      </w:pPr>
      <w:r w:rsidRPr="0059221C">
        <w:rPr>
          <w:rFonts w:ascii="黑体" w:eastAsia="黑体" w:hAnsi="黑体" w:cs="Times New Roman" w:hint="eastAsia"/>
          <w:sz w:val="32"/>
          <w:szCs w:val="32"/>
        </w:rPr>
        <w:t>三、《关于修订&lt;关于进一步规范招标（采购）限额以下项目交易活动的指导意见&gt;的通知》(</w:t>
      </w:r>
      <w:proofErr w:type="gramStart"/>
      <w:r w:rsidRPr="0059221C">
        <w:rPr>
          <w:rFonts w:ascii="黑体" w:eastAsia="黑体" w:hAnsi="黑体" w:cs="Times New Roman" w:hint="eastAsia"/>
          <w:sz w:val="32"/>
          <w:szCs w:val="32"/>
        </w:rPr>
        <w:t>铜公管</w:t>
      </w:r>
      <w:proofErr w:type="gramEnd"/>
      <w:r w:rsidRPr="0059221C">
        <w:rPr>
          <w:rFonts w:ascii="黑体" w:eastAsia="黑体" w:hAnsi="黑体" w:cs="Times New Roman" w:hint="eastAsia"/>
          <w:sz w:val="32"/>
          <w:szCs w:val="32"/>
        </w:rPr>
        <w:t>〔2021〕96号</w:t>
      </w:r>
      <w:r w:rsidRPr="0059221C">
        <w:rPr>
          <w:rFonts w:ascii="黑体" w:eastAsia="黑体" w:hAnsi="黑体" w:cs="Times New Roman"/>
          <w:sz w:val="32"/>
          <w:szCs w:val="32"/>
        </w:rPr>
        <w:t>)</w:t>
      </w:r>
    </w:p>
    <w:p w14:paraId="2CE492F7" w14:textId="071A52C0" w:rsidR="0059221C" w:rsidRDefault="0059221C" w:rsidP="0059221C">
      <w:pPr>
        <w:ind w:firstLine="640"/>
        <w:rPr>
          <w:rFonts w:ascii="仿宋_GB2312" w:eastAsia="仿宋_GB2312" w:cs="Times New Roman"/>
          <w:sz w:val="32"/>
          <w:szCs w:val="32"/>
        </w:rPr>
      </w:pPr>
      <w:r w:rsidRPr="0038103E">
        <w:rPr>
          <w:rFonts w:ascii="仿宋_GB2312" w:eastAsia="仿宋_GB2312" w:cs="Times New Roman" w:hint="eastAsia"/>
          <w:sz w:val="32"/>
          <w:szCs w:val="32"/>
        </w:rPr>
        <w:t>第二条</w:t>
      </w:r>
      <w:r w:rsidRPr="00EF6754">
        <w:rPr>
          <w:rFonts w:ascii="仿宋_GB2312" w:eastAsia="仿宋_GB2312" w:cs="Times New Roman" w:hint="eastAsia"/>
          <w:sz w:val="32"/>
          <w:szCs w:val="32"/>
        </w:rPr>
        <w:t>修改为</w:t>
      </w:r>
      <w:r w:rsidR="009F5661">
        <w:rPr>
          <w:rFonts w:ascii="仿宋_GB2312" w:eastAsia="仿宋_GB2312" w:cs="Times New Roman" w:hint="eastAsia"/>
          <w:sz w:val="32"/>
          <w:szCs w:val="32"/>
        </w:rPr>
        <w:t>：</w:t>
      </w:r>
      <w:r w:rsidRPr="00EF6754">
        <w:rPr>
          <w:rFonts w:ascii="仿宋_GB2312" w:eastAsia="仿宋_GB2312" w:cs="Times New Roman" w:hint="eastAsia"/>
          <w:sz w:val="32"/>
          <w:szCs w:val="32"/>
        </w:rPr>
        <w:t>“</w:t>
      </w:r>
      <w:r w:rsidRPr="0038103E">
        <w:rPr>
          <w:rFonts w:ascii="仿宋_GB2312" w:eastAsia="仿宋_GB2312" w:cs="Times New Roman" w:hint="eastAsia"/>
          <w:sz w:val="32"/>
          <w:szCs w:val="32"/>
        </w:rPr>
        <w:t>本意见所称交易限额范围是指国家规定的必须招标限额以下的建设工程项目</w:t>
      </w:r>
      <w:r>
        <w:rPr>
          <w:rFonts w:ascii="仿宋_GB2312" w:eastAsia="仿宋_GB2312" w:cs="Times New Roman" w:hint="eastAsia"/>
          <w:sz w:val="32"/>
          <w:szCs w:val="32"/>
        </w:rPr>
        <w:t>和分散采购限额以下的采购项目</w:t>
      </w:r>
      <w:r w:rsidRPr="00EF6754">
        <w:rPr>
          <w:rFonts w:ascii="仿宋_GB2312" w:eastAsia="仿宋_GB2312" w:cs="Times New Roman" w:hint="eastAsia"/>
          <w:sz w:val="32"/>
          <w:szCs w:val="32"/>
        </w:rPr>
        <w:t>”</w:t>
      </w:r>
      <w:r>
        <w:rPr>
          <w:rFonts w:ascii="仿宋_GB2312" w:eastAsia="仿宋_GB2312" w:cs="Times New Roman" w:hint="eastAsia"/>
          <w:sz w:val="32"/>
          <w:szCs w:val="32"/>
        </w:rPr>
        <w:t>。</w:t>
      </w:r>
    </w:p>
    <w:p w14:paraId="68891A09" w14:textId="77777777" w:rsidR="0059221C" w:rsidRDefault="0059221C" w:rsidP="0059221C">
      <w:pPr>
        <w:ind w:firstLine="640"/>
        <w:rPr>
          <w:rFonts w:ascii="黑体" w:eastAsia="黑体" w:hAnsi="黑体" w:cs="Times New Roman"/>
          <w:sz w:val="32"/>
          <w:szCs w:val="32"/>
        </w:rPr>
      </w:pPr>
      <w:r w:rsidRPr="0059221C">
        <w:rPr>
          <w:rFonts w:ascii="黑体" w:eastAsia="黑体" w:hAnsi="黑体" w:cs="Times New Roman" w:hint="eastAsia"/>
          <w:sz w:val="32"/>
          <w:szCs w:val="32"/>
        </w:rPr>
        <w:t>四、《关于印发&lt;铜陵市公共资源交易领域信用信息公示和信用修复协同联动工作办法&gt;的通知》（</w:t>
      </w:r>
      <w:proofErr w:type="gramStart"/>
      <w:r w:rsidRPr="0059221C">
        <w:rPr>
          <w:rFonts w:ascii="黑体" w:eastAsia="黑体" w:hAnsi="黑体" w:cs="Times New Roman" w:hint="eastAsia"/>
          <w:sz w:val="32"/>
          <w:szCs w:val="32"/>
        </w:rPr>
        <w:t>铜公管</w:t>
      </w:r>
      <w:proofErr w:type="gramEnd"/>
      <w:r w:rsidRPr="0059221C">
        <w:rPr>
          <w:rFonts w:ascii="黑体" w:eastAsia="黑体" w:hAnsi="黑体" w:cs="Times New Roman" w:hint="eastAsia"/>
          <w:sz w:val="32"/>
          <w:szCs w:val="32"/>
        </w:rPr>
        <w:t>〔2021〕32号）</w:t>
      </w:r>
    </w:p>
    <w:p w14:paraId="3496A180" w14:textId="150E242B" w:rsidR="0059221C" w:rsidRDefault="0059221C" w:rsidP="0059221C">
      <w:pPr>
        <w:ind w:firstLine="640"/>
        <w:rPr>
          <w:rFonts w:ascii="仿宋_GB2312" w:eastAsia="仿宋_GB2312" w:hAnsi="仿宋_GB2312" w:cs="仿宋_GB2312"/>
          <w:spacing w:val="8"/>
          <w:sz w:val="32"/>
          <w:szCs w:val="32"/>
          <w:shd w:val="clear" w:color="auto" w:fill="FFFFFF"/>
        </w:rPr>
      </w:pPr>
      <w:r w:rsidRPr="0059221C">
        <w:rPr>
          <w:rFonts w:ascii="仿宋_GB2312" w:eastAsia="仿宋_GB2312" w:hAnsi="仿宋_GB2312" w:cs="仿宋_GB2312" w:hint="eastAsia"/>
          <w:sz w:val="32"/>
          <w:szCs w:val="32"/>
        </w:rPr>
        <w:t>（一）第一条</w:t>
      </w:r>
      <w:r w:rsidR="009F5661">
        <w:rPr>
          <w:rFonts w:ascii="仿宋_GB2312" w:eastAsia="仿宋_GB2312" w:hAnsi="仿宋_GB2312" w:cs="仿宋_GB2312" w:hint="eastAsia"/>
          <w:sz w:val="32"/>
          <w:szCs w:val="32"/>
        </w:rPr>
        <w:t>部分内容</w:t>
      </w:r>
      <w:r w:rsidRPr="0059221C">
        <w:rPr>
          <w:rFonts w:ascii="仿宋_GB2312" w:eastAsia="仿宋_GB2312" w:hAnsi="仿宋_GB2312" w:cs="仿宋_GB2312" w:hint="eastAsia"/>
          <w:sz w:val="32"/>
          <w:szCs w:val="32"/>
        </w:rPr>
        <w:t>修改为“根据</w:t>
      </w:r>
      <w:r>
        <w:rPr>
          <w:rFonts w:ascii="仿宋_GB2312" w:eastAsia="仿宋_GB2312" w:hAnsi="仿宋_GB2312" w:cs="仿宋_GB2312" w:hint="eastAsia"/>
          <w:sz w:val="32"/>
          <w:szCs w:val="32"/>
        </w:rPr>
        <w:t>《国家发改委办公厅关于进一步完善行政许可和行政处罚等信用信息公示工作的指导意见》（发改办财金〔2018〕424号）、</w:t>
      </w:r>
      <w:r>
        <w:rPr>
          <w:rFonts w:ascii="仿宋_GB2312" w:eastAsia="仿宋_GB2312" w:hAnsi="仿宋_GB2312" w:cs="仿宋_GB2312" w:hint="eastAsia"/>
          <w:spacing w:val="8"/>
          <w:sz w:val="32"/>
          <w:szCs w:val="32"/>
          <w:shd w:val="clear" w:color="auto" w:fill="FFFFFF"/>
        </w:rPr>
        <w:t>《失信行为纠正后的信用信息修复管理办法（试行）》</w:t>
      </w:r>
      <w:r>
        <w:rPr>
          <w:rFonts w:ascii="仿宋_GB2312" w:eastAsia="仿宋_GB2312" w:hAnsi="仿宋_GB2312" w:cs="仿宋_GB2312" w:hint="eastAsia"/>
          <w:sz w:val="32"/>
          <w:szCs w:val="32"/>
        </w:rPr>
        <w:t>（</w:t>
      </w:r>
      <w:r>
        <w:rPr>
          <w:rFonts w:ascii="仿宋_GB2312" w:eastAsia="仿宋_GB2312" w:hAnsi="仿宋_GB2312" w:cs="仿宋_GB2312" w:hint="eastAsia"/>
          <w:spacing w:val="8"/>
          <w:sz w:val="32"/>
          <w:szCs w:val="32"/>
          <w:shd w:val="clear" w:color="auto" w:fill="FFFFFF"/>
        </w:rPr>
        <w:t>国家发展改革委令第58号</w:t>
      </w:r>
      <w:r>
        <w:rPr>
          <w:rFonts w:ascii="仿宋_GB2312" w:eastAsia="仿宋_GB2312" w:hAnsi="仿宋_GB2312" w:cs="仿宋_GB2312" w:hint="eastAsia"/>
          <w:sz w:val="32"/>
          <w:szCs w:val="32"/>
        </w:rPr>
        <w:t>）及《市场监督管理信用修复管理办法》（国市监信规〔2021〕3号）等文件规定</w:t>
      </w:r>
      <w:r>
        <w:rPr>
          <w:rFonts w:ascii="仿宋_GB2312" w:eastAsia="仿宋_GB2312" w:hAnsi="仿宋_GB2312" w:cs="仿宋_GB2312" w:hint="eastAsia"/>
          <w:spacing w:val="8"/>
          <w:sz w:val="32"/>
          <w:szCs w:val="32"/>
          <w:shd w:val="clear" w:color="auto" w:fill="FFFFFF"/>
        </w:rPr>
        <w:t>；</w:t>
      </w:r>
    </w:p>
    <w:p w14:paraId="753AEF91" w14:textId="1C17926E" w:rsidR="0059221C" w:rsidRDefault="0059221C" w:rsidP="0059221C">
      <w:pPr>
        <w:ind w:firstLine="640"/>
        <w:rPr>
          <w:rFonts w:ascii="仿宋_GB2312" w:eastAsia="仿宋_GB2312" w:hAnsi="仿宋_GB2312" w:cs="仿宋_GB2312"/>
          <w:sz w:val="32"/>
          <w:szCs w:val="32"/>
        </w:rPr>
      </w:pPr>
      <w:r>
        <w:rPr>
          <w:rFonts w:ascii="仿宋_GB2312" w:eastAsia="仿宋_GB2312" w:hAnsi="仿宋_GB2312" w:cs="仿宋_GB2312" w:hint="eastAsia"/>
          <w:spacing w:val="8"/>
          <w:sz w:val="32"/>
          <w:szCs w:val="32"/>
          <w:shd w:val="clear" w:color="auto" w:fill="FFFFFF"/>
        </w:rPr>
        <w:t>（二）第七条中</w:t>
      </w:r>
      <w:r w:rsidR="009F5661">
        <w:rPr>
          <w:rFonts w:ascii="仿宋_GB2312" w:eastAsia="仿宋_GB2312" w:hAnsi="仿宋_GB2312" w:cs="仿宋_GB2312" w:hint="eastAsia"/>
          <w:spacing w:val="8"/>
          <w:sz w:val="32"/>
          <w:szCs w:val="32"/>
          <w:shd w:val="clear" w:color="auto" w:fill="FFFFFF"/>
        </w:rPr>
        <w:t>部分内容</w:t>
      </w:r>
      <w:r w:rsidR="009F5661" w:rsidRPr="0059221C">
        <w:rPr>
          <w:rFonts w:ascii="仿宋_GB2312" w:eastAsia="仿宋_GB2312" w:hAnsi="仿宋_GB2312" w:cs="仿宋_GB2312" w:hint="eastAsia"/>
          <w:sz w:val="32"/>
          <w:szCs w:val="32"/>
        </w:rPr>
        <w:t>修改为</w:t>
      </w:r>
      <w:proofErr w:type="gramStart"/>
      <w:r>
        <w:rPr>
          <w:rFonts w:ascii="仿宋_GB2312" w:eastAsia="仿宋_GB2312" w:hAnsi="仿宋_GB2312" w:cs="仿宋_GB2312" w:hint="eastAsia"/>
          <w:spacing w:val="8"/>
          <w:sz w:val="32"/>
          <w:szCs w:val="32"/>
          <w:shd w:val="clear" w:color="auto" w:fill="FFFFFF"/>
        </w:rPr>
        <w:t>“</w:t>
      </w:r>
      <w:proofErr w:type="gramEnd"/>
      <w:r>
        <w:rPr>
          <w:rFonts w:ascii="仿宋_GB2312" w:eastAsia="仿宋_GB2312" w:hAnsi="仿宋_GB2312" w:cs="仿宋_GB2312" w:hint="eastAsia"/>
          <w:sz w:val="32"/>
          <w:szCs w:val="32"/>
        </w:rPr>
        <w:t>市发改委负责对“信用</w:t>
      </w:r>
      <w:r>
        <w:rPr>
          <w:rFonts w:ascii="仿宋_GB2312" w:eastAsia="仿宋_GB2312" w:hAnsi="仿宋_GB2312" w:cs="仿宋_GB2312" w:hint="eastAsia"/>
          <w:sz w:val="32"/>
          <w:szCs w:val="32"/>
        </w:rPr>
        <w:lastRenderedPageBreak/>
        <w:t>铜陵”、“信用安徽”、“信用中国”网站发布的信用信息进行信用修复</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w:t>
      </w:r>
    </w:p>
    <w:p w14:paraId="2986250A" w14:textId="77777777" w:rsidR="009F5661" w:rsidRDefault="009F5661" w:rsidP="0059221C">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sidR="0059221C">
        <w:rPr>
          <w:rFonts w:ascii="仿宋_GB2312" w:eastAsia="仿宋_GB2312" w:hAnsi="仿宋_GB2312" w:cs="仿宋_GB2312" w:hint="eastAsia"/>
          <w:sz w:val="32"/>
          <w:szCs w:val="32"/>
        </w:rPr>
        <w:t>第八条</w:t>
      </w:r>
      <w:r>
        <w:rPr>
          <w:rFonts w:ascii="仿宋_GB2312" w:eastAsia="仿宋_GB2312" w:hAnsi="仿宋_GB2312" w:cs="仿宋_GB2312" w:hint="eastAsia"/>
          <w:sz w:val="32"/>
          <w:szCs w:val="32"/>
        </w:rPr>
        <w:t>修改为：“</w:t>
      </w:r>
      <w:r w:rsidR="0059221C">
        <w:rPr>
          <w:rFonts w:ascii="仿宋_GB2312" w:eastAsia="仿宋_GB2312" w:hAnsi="仿宋_GB2312" w:cs="仿宋_GB2312" w:hint="eastAsia"/>
          <w:sz w:val="32"/>
          <w:szCs w:val="32"/>
        </w:rPr>
        <w:t>信用修复条件</w:t>
      </w:r>
      <w:r>
        <w:rPr>
          <w:rFonts w:ascii="仿宋_GB2312" w:eastAsia="仿宋_GB2312" w:hAnsi="仿宋_GB2312" w:cs="仿宋_GB2312" w:hint="eastAsia"/>
          <w:sz w:val="32"/>
          <w:szCs w:val="32"/>
        </w:rPr>
        <w:t>。</w:t>
      </w:r>
      <w:r w:rsidR="0059221C">
        <w:rPr>
          <w:rFonts w:ascii="仿宋_GB2312" w:eastAsia="仿宋_GB2312" w:hAnsi="仿宋_GB2312" w:cs="仿宋_GB2312" w:hint="eastAsia"/>
          <w:sz w:val="32"/>
          <w:szCs w:val="32"/>
        </w:rPr>
        <w:t>对符合下列条件的企业申请信用修复，四部门应予修复。</w:t>
      </w:r>
    </w:p>
    <w:p w14:paraId="4F0FB70D" w14:textId="77777777" w:rsidR="009F5661" w:rsidRDefault="0059221C" w:rsidP="0059221C">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1.已完全履行行政处罚决定和行政处理决定规定的义务；</w:t>
      </w:r>
    </w:p>
    <w:p w14:paraId="593645BB" w14:textId="77777777" w:rsidR="009F5661" w:rsidRDefault="0059221C" w:rsidP="0059221C">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2.违法失信行为已完成整改，该违法失信行为造成的不良社会影响已基本消除；</w:t>
      </w:r>
    </w:p>
    <w:p w14:paraId="255C630E" w14:textId="77777777" w:rsidR="009F5661" w:rsidRDefault="0059221C" w:rsidP="0059221C">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3.失信信息达到最短公示期限；</w:t>
      </w:r>
    </w:p>
    <w:p w14:paraId="0D22B22E" w14:textId="77777777" w:rsidR="009F5661" w:rsidRDefault="0059221C" w:rsidP="0059221C">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4.行政处罚信息的申请公开</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信用承诺；</w:t>
      </w:r>
    </w:p>
    <w:p w14:paraId="7AF31B92" w14:textId="6450DC5C" w:rsidR="0059221C" w:rsidRDefault="0059221C" w:rsidP="0059221C">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5.移出严重失信主体名单的申请经认定机关审核同意实施信用修复的。”</w:t>
      </w:r>
    </w:p>
    <w:p w14:paraId="17046112" w14:textId="7D424643" w:rsidR="009F5661" w:rsidRDefault="009F5661" w:rsidP="009F5661">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sidR="0059221C">
        <w:rPr>
          <w:rFonts w:ascii="仿宋_GB2312" w:eastAsia="仿宋_GB2312" w:hAnsi="仿宋_GB2312" w:cs="仿宋_GB2312" w:hint="eastAsia"/>
          <w:sz w:val="32"/>
          <w:szCs w:val="32"/>
        </w:rPr>
        <w:t>第十条</w:t>
      </w:r>
      <w:r>
        <w:rPr>
          <w:rFonts w:ascii="仿宋_GB2312" w:eastAsia="仿宋_GB2312" w:hAnsi="仿宋_GB2312" w:cs="仿宋_GB2312" w:hint="eastAsia"/>
          <w:sz w:val="32"/>
          <w:szCs w:val="32"/>
        </w:rPr>
        <w:t>修改为：“推行</w:t>
      </w:r>
      <w:r>
        <w:rPr>
          <w:rFonts w:eastAsia="仿宋_GB2312" w:cs="仿宋_GB2312" w:hint="eastAsia"/>
          <w:sz w:val="32"/>
          <w:szCs w:val="32"/>
        </w:rPr>
        <w:t>‘</w:t>
      </w:r>
      <w:r w:rsidR="0059221C">
        <w:rPr>
          <w:rFonts w:ascii="仿宋_GB2312" w:eastAsia="仿宋_GB2312" w:hAnsi="仿宋_GB2312" w:cs="仿宋_GB2312" w:hint="eastAsia"/>
          <w:sz w:val="32"/>
          <w:szCs w:val="32"/>
        </w:rPr>
        <w:t>当日办结</w:t>
      </w:r>
      <w:r>
        <w:rPr>
          <w:rFonts w:eastAsia="仿宋_GB2312" w:cs="仿宋_GB2312" w:hint="eastAsia"/>
          <w:sz w:val="32"/>
          <w:szCs w:val="32"/>
        </w:rPr>
        <w:t>’</w:t>
      </w:r>
      <w:r w:rsidR="0059221C">
        <w:rPr>
          <w:rFonts w:ascii="仿宋_GB2312" w:eastAsia="仿宋_GB2312" w:hAnsi="仿宋_GB2312" w:cs="仿宋_GB2312" w:hint="eastAsia"/>
          <w:sz w:val="32"/>
          <w:szCs w:val="32"/>
        </w:rPr>
        <w:t>制</w:t>
      </w:r>
      <w:r>
        <w:rPr>
          <w:rFonts w:ascii="仿宋_GB2312" w:eastAsia="仿宋_GB2312" w:hAnsi="仿宋_GB2312" w:cs="仿宋_GB2312" w:hint="eastAsia"/>
          <w:sz w:val="32"/>
          <w:szCs w:val="32"/>
        </w:rPr>
        <w:t>。</w:t>
      </w:r>
      <w:r w:rsidR="0059221C">
        <w:rPr>
          <w:rFonts w:ascii="仿宋_GB2312" w:eastAsia="仿宋_GB2312" w:hint="eastAsia"/>
          <w:sz w:val="32"/>
          <w:szCs w:val="32"/>
        </w:rPr>
        <w:t>市公管局</w:t>
      </w:r>
      <w:r w:rsidR="0059221C">
        <w:rPr>
          <w:rFonts w:ascii="仿宋_GB2312" w:eastAsia="仿宋_GB2312" w:hAnsi="仿宋_GB2312" w:cs="仿宋_GB2312" w:hint="eastAsia"/>
          <w:sz w:val="32"/>
          <w:szCs w:val="32"/>
        </w:rPr>
        <w:t>对达到最短公示期限符合提前修复条件的失信信息在受理申请半个工作日内，按照</w:t>
      </w:r>
      <w:r>
        <w:rPr>
          <w:rFonts w:eastAsia="仿宋_GB2312" w:cs="仿宋_GB2312" w:hint="eastAsia"/>
          <w:sz w:val="32"/>
          <w:szCs w:val="32"/>
        </w:rPr>
        <w:t>‘</w:t>
      </w:r>
      <w:r w:rsidR="0059221C">
        <w:rPr>
          <w:rFonts w:ascii="仿宋_GB2312" w:eastAsia="仿宋_GB2312" w:hAnsi="仿宋_GB2312" w:cs="仿宋_GB2312" w:hint="eastAsia"/>
          <w:sz w:val="32"/>
          <w:szCs w:val="32"/>
        </w:rPr>
        <w:t>即申即办、事后备案</w:t>
      </w:r>
      <w:r>
        <w:rPr>
          <w:rFonts w:eastAsia="仿宋_GB2312" w:cs="仿宋_GB2312" w:hint="eastAsia"/>
          <w:sz w:val="32"/>
          <w:szCs w:val="32"/>
        </w:rPr>
        <w:t>’</w:t>
      </w:r>
      <w:r w:rsidR="0059221C">
        <w:rPr>
          <w:rFonts w:ascii="仿宋_GB2312" w:eastAsia="仿宋_GB2312" w:hAnsi="仿宋_GB2312" w:cs="仿宋_GB2312" w:hint="eastAsia"/>
          <w:sz w:val="32"/>
          <w:szCs w:val="32"/>
        </w:rPr>
        <w:t>的要求及时修复公共资源交易监管平台门户网站企业信用信息。市发改委对符合信用修复条件的信息修复申请，在受理申请半个工作日内，修复</w:t>
      </w:r>
      <w:r>
        <w:rPr>
          <w:rFonts w:eastAsia="仿宋_GB2312" w:cs="仿宋_GB2312" w:hint="eastAsia"/>
          <w:sz w:val="32"/>
          <w:szCs w:val="32"/>
        </w:rPr>
        <w:t>‘</w:t>
      </w:r>
      <w:r w:rsidR="0059221C">
        <w:rPr>
          <w:rFonts w:ascii="仿宋_GB2312" w:eastAsia="仿宋_GB2312" w:hAnsi="仿宋_GB2312" w:cs="仿宋_GB2312" w:hint="eastAsia"/>
          <w:sz w:val="32"/>
          <w:szCs w:val="32"/>
        </w:rPr>
        <w:t>信用铜陵</w:t>
      </w:r>
      <w:r>
        <w:rPr>
          <w:rFonts w:eastAsia="仿宋_GB2312" w:cs="仿宋_GB2312" w:hint="eastAsia"/>
          <w:sz w:val="32"/>
          <w:szCs w:val="32"/>
        </w:rPr>
        <w:t>’</w:t>
      </w:r>
      <w:r w:rsidR="0059221C">
        <w:rPr>
          <w:rFonts w:ascii="仿宋_GB2312" w:eastAsia="仿宋_GB2312" w:hAnsi="仿宋_GB2312" w:cs="仿宋_GB2312" w:hint="eastAsia"/>
          <w:sz w:val="32"/>
          <w:szCs w:val="32"/>
        </w:rPr>
        <w:t>网站信用信息，并在线同步向</w:t>
      </w:r>
      <w:r>
        <w:rPr>
          <w:rFonts w:eastAsia="仿宋_GB2312" w:cs="仿宋_GB2312" w:hint="eastAsia"/>
          <w:sz w:val="32"/>
          <w:szCs w:val="32"/>
        </w:rPr>
        <w:t>‘</w:t>
      </w:r>
      <w:r w:rsidR="0059221C">
        <w:rPr>
          <w:rFonts w:ascii="仿宋_GB2312" w:eastAsia="仿宋_GB2312" w:hAnsi="仿宋_GB2312" w:cs="仿宋_GB2312" w:hint="eastAsia"/>
          <w:sz w:val="32"/>
          <w:szCs w:val="32"/>
        </w:rPr>
        <w:t>信用安徽</w:t>
      </w:r>
      <w:r>
        <w:rPr>
          <w:rFonts w:eastAsia="仿宋_GB2312" w:cs="仿宋_GB2312" w:hint="eastAsia"/>
          <w:sz w:val="32"/>
          <w:szCs w:val="32"/>
        </w:rPr>
        <w:t>’</w:t>
      </w:r>
      <w:r w:rsidR="0059221C">
        <w:rPr>
          <w:rFonts w:ascii="仿宋_GB2312" w:eastAsia="仿宋_GB2312" w:hAnsi="仿宋_GB2312" w:cs="仿宋_GB2312" w:hint="eastAsia"/>
          <w:sz w:val="32"/>
          <w:szCs w:val="32"/>
        </w:rPr>
        <w:t>、</w:t>
      </w:r>
      <w:r>
        <w:rPr>
          <w:rFonts w:eastAsia="仿宋_GB2312" w:cs="仿宋_GB2312" w:hint="eastAsia"/>
          <w:sz w:val="32"/>
          <w:szCs w:val="32"/>
        </w:rPr>
        <w:t>‘</w:t>
      </w:r>
      <w:r w:rsidR="0059221C">
        <w:rPr>
          <w:rFonts w:ascii="仿宋_GB2312" w:eastAsia="仿宋_GB2312" w:hAnsi="仿宋_GB2312" w:cs="仿宋_GB2312" w:hint="eastAsia"/>
          <w:sz w:val="32"/>
          <w:szCs w:val="32"/>
        </w:rPr>
        <w:t>信用中国</w:t>
      </w:r>
      <w:r>
        <w:rPr>
          <w:rFonts w:eastAsia="仿宋_GB2312" w:cs="仿宋_GB2312" w:hint="eastAsia"/>
          <w:sz w:val="32"/>
          <w:szCs w:val="32"/>
        </w:rPr>
        <w:t>’</w:t>
      </w:r>
      <w:r w:rsidR="0059221C">
        <w:rPr>
          <w:rFonts w:ascii="仿宋_GB2312" w:eastAsia="仿宋_GB2312" w:hAnsi="仿宋_GB2312" w:cs="仿宋_GB2312" w:hint="eastAsia"/>
          <w:sz w:val="32"/>
          <w:szCs w:val="32"/>
        </w:rPr>
        <w:t>上报信用修复申请。市市场监管局对符合信用修复条件的信息修复申请，在受理申请半个工作日内，按照规定的程序，提前停止通过国家企业信用信息公示系统公示行政处罚等相关信息。市交易中心在接到市公管局关于信用修复函件半个工作日内，修复公共资源交易监管服务平台门户网站企业行信用信息。失信信息最</w:t>
      </w:r>
      <w:r w:rsidR="0059221C">
        <w:rPr>
          <w:rFonts w:ascii="仿宋_GB2312" w:eastAsia="仿宋_GB2312" w:hAnsi="仿宋_GB2312" w:cs="仿宋_GB2312" w:hint="eastAsia"/>
          <w:sz w:val="32"/>
          <w:szCs w:val="32"/>
        </w:rPr>
        <w:lastRenderedPageBreak/>
        <w:t>长公示期限届满的，自动转入后台管理，不再进行公示。”</w:t>
      </w:r>
    </w:p>
    <w:p w14:paraId="35FAD794" w14:textId="305E7445" w:rsidR="0059221C" w:rsidRPr="00F659EC" w:rsidRDefault="009F5661" w:rsidP="0059221C">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w:t>
      </w:r>
      <w:r w:rsidR="0059221C">
        <w:rPr>
          <w:rFonts w:ascii="仿宋_GB2312" w:eastAsia="仿宋_GB2312" w:hAnsi="仿宋_GB2312" w:cs="仿宋_GB2312" w:hint="eastAsia"/>
          <w:sz w:val="32"/>
          <w:szCs w:val="32"/>
        </w:rPr>
        <w:t>删除第十三条中“本办法由市公管局、市发改委、市市场监管局和市交易中心联合负责解释”</w:t>
      </w:r>
      <w:r>
        <w:rPr>
          <w:rFonts w:ascii="仿宋_GB2312" w:eastAsia="仿宋_GB2312" w:hAnsi="仿宋_GB2312" w:cs="仿宋_GB2312" w:hint="eastAsia"/>
          <w:sz w:val="32"/>
          <w:szCs w:val="32"/>
        </w:rPr>
        <w:t>内容。</w:t>
      </w:r>
    </w:p>
    <w:p w14:paraId="75A56399" w14:textId="2B5A35C1" w:rsidR="0059221C" w:rsidRPr="00D504D5" w:rsidRDefault="009F5661" w:rsidP="0059221C">
      <w:pPr>
        <w:ind w:firstLine="640"/>
        <w:rPr>
          <w:rFonts w:ascii="仿宋_GB2312" w:eastAsia="仿宋_GB2312" w:hAnsi="仿宋_GB2312" w:cs="仿宋_GB2312"/>
          <w:sz w:val="32"/>
          <w:szCs w:val="32"/>
        </w:rPr>
      </w:pPr>
      <w:r w:rsidRPr="00D504D5">
        <w:rPr>
          <w:rFonts w:ascii="仿宋_GB2312" w:eastAsia="仿宋_GB2312" w:hAnsi="仿宋_GB2312" w:cs="仿宋_GB2312" w:hint="eastAsia"/>
          <w:sz w:val="32"/>
          <w:szCs w:val="32"/>
        </w:rPr>
        <w:t>本通知自公布之日起施行。</w:t>
      </w:r>
    </w:p>
    <w:p w14:paraId="3ECCF019" w14:textId="5723D7C1" w:rsidR="00601CEF" w:rsidRDefault="00601CEF" w:rsidP="0059221C">
      <w:pPr>
        <w:ind w:firstLine="640"/>
        <w:rPr>
          <w:rFonts w:ascii="仿宋_GB2312" w:eastAsia="仿宋_GB2312"/>
          <w:color w:val="333333"/>
          <w:sz w:val="32"/>
          <w:szCs w:val="32"/>
          <w:shd w:val="clear" w:color="auto" w:fill="FFFFFF"/>
        </w:rPr>
      </w:pPr>
    </w:p>
    <w:p w14:paraId="1518FDCD" w14:textId="0DA6E570" w:rsidR="00601CEF" w:rsidRDefault="00601CEF" w:rsidP="0059221C">
      <w:pPr>
        <w:ind w:firstLine="640"/>
        <w:rPr>
          <w:rFonts w:ascii="仿宋_GB2312" w:eastAsia="仿宋_GB2312"/>
          <w:color w:val="333333"/>
          <w:sz w:val="32"/>
          <w:szCs w:val="32"/>
          <w:shd w:val="clear" w:color="auto" w:fill="FFFFFF"/>
        </w:rPr>
      </w:pPr>
    </w:p>
    <w:p w14:paraId="56BCBFF8" w14:textId="77777777" w:rsidR="00601CEF" w:rsidRDefault="00601CEF" w:rsidP="0059221C">
      <w:pPr>
        <w:ind w:firstLine="640"/>
        <w:rPr>
          <w:rFonts w:ascii="仿宋_GB2312" w:eastAsia="仿宋_GB2312"/>
          <w:color w:val="333333"/>
          <w:sz w:val="32"/>
          <w:szCs w:val="32"/>
          <w:shd w:val="clear" w:color="auto" w:fill="FFFFFF"/>
        </w:rPr>
      </w:pPr>
    </w:p>
    <w:p w14:paraId="3662905C" w14:textId="674ABDE5" w:rsidR="00601CEF" w:rsidRDefault="00601CEF" w:rsidP="00601CEF">
      <w:pPr>
        <w:ind w:firstLineChars="1150" w:firstLine="3680"/>
        <w:rPr>
          <w:rFonts w:ascii="仿宋_GB2312" w:eastAsia="仿宋_GB2312"/>
          <w:color w:val="333333"/>
          <w:sz w:val="32"/>
          <w:szCs w:val="32"/>
          <w:shd w:val="clear" w:color="auto" w:fill="FFFFFF"/>
        </w:rPr>
      </w:pPr>
      <w:r>
        <w:rPr>
          <w:rFonts w:ascii="仿宋_GB2312" w:eastAsia="仿宋_GB2312" w:hint="eastAsia"/>
          <w:color w:val="333333"/>
          <w:sz w:val="32"/>
          <w:szCs w:val="32"/>
          <w:shd w:val="clear" w:color="auto" w:fill="FFFFFF"/>
        </w:rPr>
        <w:t>铜陵市公共资源交易监督管理局</w:t>
      </w:r>
    </w:p>
    <w:p w14:paraId="2D32CC3E" w14:textId="221D7579" w:rsidR="000851AA" w:rsidRPr="00601CEF" w:rsidRDefault="00601CEF" w:rsidP="00601CEF">
      <w:pPr>
        <w:ind w:firstLineChars="1400" w:firstLine="4480"/>
        <w:rPr>
          <w:rFonts w:ascii="仿宋_GB2312" w:eastAsia="仿宋_GB2312" w:cs="Times New Roman"/>
          <w:sz w:val="32"/>
          <w:szCs w:val="32"/>
        </w:rPr>
      </w:pPr>
      <w:r>
        <w:rPr>
          <w:rFonts w:ascii="仿宋_GB2312" w:eastAsia="仿宋_GB2312" w:hint="eastAsia"/>
          <w:color w:val="333333"/>
          <w:sz w:val="32"/>
          <w:szCs w:val="32"/>
          <w:shd w:val="clear" w:color="auto" w:fill="FFFFFF"/>
        </w:rPr>
        <w:t>2</w:t>
      </w:r>
      <w:r>
        <w:rPr>
          <w:rFonts w:ascii="仿宋_GB2312" w:eastAsia="仿宋_GB2312"/>
          <w:color w:val="333333"/>
          <w:sz w:val="32"/>
          <w:szCs w:val="32"/>
          <w:shd w:val="clear" w:color="auto" w:fill="FFFFFF"/>
        </w:rPr>
        <w:t>024</w:t>
      </w:r>
      <w:r>
        <w:rPr>
          <w:rFonts w:ascii="仿宋_GB2312" w:eastAsia="仿宋_GB2312" w:hint="eastAsia"/>
          <w:color w:val="333333"/>
          <w:sz w:val="32"/>
          <w:szCs w:val="32"/>
          <w:shd w:val="clear" w:color="auto" w:fill="FFFFFF"/>
        </w:rPr>
        <w:t>年9月1</w:t>
      </w:r>
      <w:r>
        <w:rPr>
          <w:rFonts w:ascii="仿宋_GB2312" w:eastAsia="仿宋_GB2312"/>
          <w:color w:val="333333"/>
          <w:sz w:val="32"/>
          <w:szCs w:val="32"/>
          <w:shd w:val="clear" w:color="auto" w:fill="FFFFFF"/>
        </w:rPr>
        <w:t>4</w:t>
      </w:r>
      <w:r>
        <w:rPr>
          <w:rFonts w:ascii="仿宋_GB2312" w:eastAsia="仿宋_GB2312" w:hint="eastAsia"/>
          <w:color w:val="333333"/>
          <w:sz w:val="32"/>
          <w:szCs w:val="32"/>
          <w:shd w:val="clear" w:color="auto" w:fill="FFFFFF"/>
        </w:rPr>
        <w:t>日</w:t>
      </w:r>
    </w:p>
    <w:sectPr w:rsidR="000851AA" w:rsidRPr="00601CEF" w:rsidSect="000851AA">
      <w:pgSz w:w="11906" w:h="16838"/>
      <w:pgMar w:top="1701" w:right="1531" w:bottom="1418"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F8068" w14:textId="77777777" w:rsidR="004B64F7" w:rsidRDefault="004B64F7" w:rsidP="000851AA">
      <w:r>
        <w:separator/>
      </w:r>
    </w:p>
  </w:endnote>
  <w:endnote w:type="continuationSeparator" w:id="0">
    <w:p w14:paraId="4D7A4488" w14:textId="77777777" w:rsidR="004B64F7" w:rsidRDefault="004B64F7" w:rsidP="00085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EC5E8" w14:textId="77777777" w:rsidR="004B64F7" w:rsidRDefault="004B64F7" w:rsidP="000851AA">
      <w:r>
        <w:separator/>
      </w:r>
    </w:p>
  </w:footnote>
  <w:footnote w:type="continuationSeparator" w:id="0">
    <w:p w14:paraId="2189B360" w14:textId="77777777" w:rsidR="004B64F7" w:rsidRDefault="004B64F7" w:rsidP="00085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C72CD"/>
    <w:multiLevelType w:val="multilevel"/>
    <w:tmpl w:val="C2886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F40"/>
    <w:rsid w:val="000851AA"/>
    <w:rsid w:val="001638C4"/>
    <w:rsid w:val="002430CC"/>
    <w:rsid w:val="003D4F40"/>
    <w:rsid w:val="004B64F7"/>
    <w:rsid w:val="0059221C"/>
    <w:rsid w:val="005A49B5"/>
    <w:rsid w:val="00601CEF"/>
    <w:rsid w:val="009F5661"/>
    <w:rsid w:val="00AB134C"/>
    <w:rsid w:val="00D50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2CBBE"/>
  <w15:chartTrackingRefBased/>
  <w15:docId w15:val="{50D83BD2-5ECC-4579-B2E1-1D0273DE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51A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851AA"/>
    <w:rPr>
      <w:sz w:val="18"/>
      <w:szCs w:val="18"/>
    </w:rPr>
  </w:style>
  <w:style w:type="paragraph" w:styleId="a5">
    <w:name w:val="footer"/>
    <w:basedOn w:val="a"/>
    <w:link w:val="a6"/>
    <w:uiPriority w:val="99"/>
    <w:unhideWhenUsed/>
    <w:rsid w:val="000851AA"/>
    <w:pPr>
      <w:tabs>
        <w:tab w:val="center" w:pos="4153"/>
        <w:tab w:val="right" w:pos="8306"/>
      </w:tabs>
      <w:snapToGrid w:val="0"/>
      <w:jc w:val="left"/>
    </w:pPr>
    <w:rPr>
      <w:sz w:val="18"/>
      <w:szCs w:val="18"/>
    </w:rPr>
  </w:style>
  <w:style w:type="character" w:customStyle="1" w:styleId="a6">
    <w:name w:val="页脚 字符"/>
    <w:basedOn w:val="a0"/>
    <w:link w:val="a5"/>
    <w:uiPriority w:val="99"/>
    <w:rsid w:val="000851AA"/>
    <w:rPr>
      <w:sz w:val="18"/>
      <w:szCs w:val="18"/>
    </w:rPr>
  </w:style>
  <w:style w:type="paragraph" w:styleId="a7">
    <w:name w:val="Balloon Text"/>
    <w:basedOn w:val="a"/>
    <w:link w:val="a8"/>
    <w:uiPriority w:val="99"/>
    <w:semiHidden/>
    <w:unhideWhenUsed/>
    <w:rsid w:val="00601CEF"/>
    <w:rPr>
      <w:sz w:val="18"/>
      <w:szCs w:val="18"/>
    </w:rPr>
  </w:style>
  <w:style w:type="character" w:customStyle="1" w:styleId="a8">
    <w:name w:val="批注框文本 字符"/>
    <w:basedOn w:val="a0"/>
    <w:link w:val="a7"/>
    <w:uiPriority w:val="99"/>
    <w:semiHidden/>
    <w:rsid w:val="00601CE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14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218</Words>
  <Characters>1246</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cp:lastPrinted>2024-09-14T07:50:00Z</cp:lastPrinted>
  <dcterms:created xsi:type="dcterms:W3CDTF">2024-09-14T01:43:00Z</dcterms:created>
  <dcterms:modified xsi:type="dcterms:W3CDTF">2024-09-14T07:56:00Z</dcterms:modified>
</cp:coreProperties>
</file>